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AD13" w14:textId="2A4BF596" w:rsidR="00BA0494" w:rsidRDefault="00AC1015" w:rsidP="00AC1015">
      <w:pPr>
        <w:jc w:val="center"/>
        <w:rPr>
          <w:b/>
          <w:bCs/>
          <w:sz w:val="32"/>
          <w:szCs w:val="32"/>
        </w:rPr>
      </w:pPr>
      <w:r w:rsidRPr="00AC1015">
        <w:rPr>
          <w:b/>
          <w:bCs/>
          <w:sz w:val="32"/>
          <w:szCs w:val="32"/>
        </w:rPr>
        <w:t>NOTAS RELATIVAS A LOS ESTADOS FINANCIEROS AL 3</w:t>
      </w:r>
      <w:r w:rsidR="005E4DD7">
        <w:rPr>
          <w:b/>
          <w:bCs/>
          <w:sz w:val="32"/>
          <w:szCs w:val="32"/>
        </w:rPr>
        <w:t>1</w:t>
      </w:r>
      <w:r w:rsidRPr="00AC1015">
        <w:rPr>
          <w:b/>
          <w:bCs/>
          <w:sz w:val="32"/>
          <w:szCs w:val="32"/>
        </w:rPr>
        <w:t xml:space="preserve"> DE </w:t>
      </w:r>
      <w:r w:rsidR="005E4DD7">
        <w:rPr>
          <w:b/>
          <w:bCs/>
          <w:sz w:val="32"/>
          <w:szCs w:val="32"/>
        </w:rPr>
        <w:t>DIC</w:t>
      </w:r>
      <w:r w:rsidR="00BA4018">
        <w:rPr>
          <w:b/>
          <w:bCs/>
          <w:sz w:val="32"/>
          <w:szCs w:val="32"/>
        </w:rPr>
        <w:t>IEMBRE</w:t>
      </w:r>
      <w:r w:rsidRPr="00AC1015">
        <w:rPr>
          <w:b/>
          <w:bCs/>
          <w:sz w:val="32"/>
          <w:szCs w:val="32"/>
        </w:rPr>
        <w:t xml:space="preserve"> DEL 2023.</w:t>
      </w:r>
    </w:p>
    <w:p w14:paraId="50BA1AA8" w14:textId="77777777" w:rsidR="005E4DD7" w:rsidRDefault="005E4DD7" w:rsidP="005E4DD7">
      <w:pPr>
        <w:rPr>
          <w:b/>
          <w:bCs/>
          <w:sz w:val="32"/>
          <w:szCs w:val="32"/>
        </w:rPr>
      </w:pPr>
    </w:p>
    <w:p w14:paraId="135B699B" w14:textId="77777777" w:rsidR="005E4DD7" w:rsidRPr="005E4DD7" w:rsidRDefault="005E4DD7" w:rsidP="005E4DD7">
      <w:pPr>
        <w:spacing w:after="0"/>
        <w:jc w:val="both"/>
        <w:rPr>
          <w:rFonts w:cstheme="minorHAnsi"/>
        </w:rPr>
      </w:pPr>
      <w:r w:rsidRPr="005E4DD7">
        <w:rPr>
          <w:rFonts w:cstheme="minorHAnsi"/>
        </w:rPr>
        <w:t>De acuerdo con lo establecido en los artículos 46, 48, 49 y 52 de la Ley General de Contabilidad Gubernamental (LGCG), los entes públicos deberán emitir en forma periódica estados financieros; asimismo, cuando algún rubro así lo requiera, se deberá acompañar de Notas a los Estados Financieros, con la finalidad de revelar y proporcionar información adicional y suficiente que amplíe y de significado a los datos contenidos en los estados financieros, los cuales serán la base para la emisión de Informes Periódicos y para la formulación de la Cuenta Pública Anual.</w:t>
      </w:r>
    </w:p>
    <w:p w14:paraId="494FBEE6" w14:textId="77777777" w:rsidR="005E4DD7" w:rsidRDefault="005E4DD7" w:rsidP="00AC1015">
      <w:pPr>
        <w:jc w:val="both"/>
        <w:rPr>
          <w:b/>
          <w:bCs/>
          <w:sz w:val="24"/>
          <w:szCs w:val="24"/>
        </w:rPr>
      </w:pPr>
    </w:p>
    <w:p w14:paraId="339EB251" w14:textId="77777777" w:rsidR="005E4DD7" w:rsidRPr="005E4DD7" w:rsidRDefault="005E4DD7" w:rsidP="005E4DD7">
      <w:pPr>
        <w:spacing w:after="0"/>
        <w:jc w:val="center"/>
        <w:rPr>
          <w:rFonts w:cstheme="minorHAnsi"/>
        </w:rPr>
      </w:pPr>
      <w:r w:rsidRPr="005E4DD7">
        <w:rPr>
          <w:rFonts w:cstheme="minorHAnsi"/>
        </w:rPr>
        <w:t>INTRODUCCIÓN:</w:t>
      </w:r>
    </w:p>
    <w:p w14:paraId="6A2BA9A9" w14:textId="77777777" w:rsidR="005E4DD7" w:rsidRPr="005E4DD7" w:rsidRDefault="005E4DD7" w:rsidP="005E4DD7">
      <w:pPr>
        <w:spacing w:after="0"/>
        <w:jc w:val="center"/>
        <w:rPr>
          <w:rFonts w:cstheme="minorHAnsi"/>
        </w:rPr>
      </w:pPr>
    </w:p>
    <w:p w14:paraId="2818A93D" w14:textId="77777777" w:rsidR="005E4DD7" w:rsidRPr="005E4DD7" w:rsidRDefault="005E4DD7" w:rsidP="005E4DD7">
      <w:pPr>
        <w:spacing w:after="0"/>
        <w:jc w:val="both"/>
        <w:rPr>
          <w:rFonts w:cstheme="minorHAnsi"/>
        </w:rPr>
      </w:pPr>
      <w:r w:rsidRPr="005E4DD7">
        <w:rPr>
          <w:rFonts w:cstheme="minorHAnsi"/>
        </w:rPr>
        <w:t>Los Estados Financieros y Presupuestales de nuestro ente Público, proveen de información financiera a los principales usuarios, instancias fiscalizadoras, ciudadanos y a las plataformas digitales.</w:t>
      </w:r>
    </w:p>
    <w:p w14:paraId="552151C4" w14:textId="77777777" w:rsidR="005E4DD7" w:rsidRPr="005E4DD7" w:rsidRDefault="005E4DD7" w:rsidP="005E4DD7">
      <w:pPr>
        <w:spacing w:after="0"/>
        <w:jc w:val="both"/>
        <w:rPr>
          <w:rFonts w:cstheme="minorHAnsi"/>
        </w:rPr>
      </w:pPr>
    </w:p>
    <w:p w14:paraId="7A4AA66A" w14:textId="77777777" w:rsidR="005E4DD7" w:rsidRPr="005E4DD7" w:rsidRDefault="005E4DD7" w:rsidP="005E4DD7">
      <w:pPr>
        <w:spacing w:after="0"/>
        <w:jc w:val="both"/>
        <w:rPr>
          <w:rFonts w:cstheme="minorHAnsi"/>
        </w:rPr>
      </w:pPr>
      <w:r w:rsidRPr="005E4DD7">
        <w:rPr>
          <w:rFonts w:cstheme="minorHAnsi"/>
        </w:rPr>
        <w:t>El objetivo del presente documento es la revelación del contexto y de los aspectos económicos-financieros más relevantes que influyeron en las decisiones del periodo, y que fueron considerados en la elaboración de los estados financieros para la mayor comprensión de estos y sus particularidades.</w:t>
      </w:r>
    </w:p>
    <w:p w14:paraId="1CDF2506" w14:textId="77777777" w:rsidR="005E4DD7" w:rsidRPr="005E4DD7" w:rsidRDefault="005E4DD7" w:rsidP="005E4DD7">
      <w:pPr>
        <w:spacing w:after="0"/>
        <w:jc w:val="both"/>
        <w:rPr>
          <w:rFonts w:cstheme="minorHAnsi"/>
        </w:rPr>
      </w:pPr>
    </w:p>
    <w:p w14:paraId="379C1C0A" w14:textId="77777777" w:rsidR="005E4DD7" w:rsidRDefault="005E4DD7" w:rsidP="005E4DD7">
      <w:pPr>
        <w:spacing w:after="0"/>
        <w:jc w:val="both"/>
        <w:rPr>
          <w:rFonts w:cstheme="minorHAnsi"/>
        </w:rPr>
      </w:pPr>
      <w:r w:rsidRPr="005E4DD7">
        <w:rPr>
          <w:rFonts w:cstheme="minorHAnsi"/>
        </w:rPr>
        <w:t>De esta manera, se informa y explica la respuesta del gobierno a las condiciones relacionadas con la información financiera de cada periodo de gestión; además, de exponer aquellas políticas que podrían afectar la toma de decisiones en periodos posteriores.</w:t>
      </w:r>
    </w:p>
    <w:p w14:paraId="59DC72B7" w14:textId="77777777" w:rsidR="005E4DD7" w:rsidRDefault="005E4DD7" w:rsidP="005E4DD7">
      <w:pPr>
        <w:spacing w:after="0"/>
        <w:jc w:val="both"/>
        <w:rPr>
          <w:rFonts w:cstheme="minorHAnsi"/>
        </w:rPr>
      </w:pPr>
    </w:p>
    <w:p w14:paraId="3AFE7F15" w14:textId="77777777" w:rsidR="005E4DD7" w:rsidRDefault="005E4DD7" w:rsidP="005E4DD7">
      <w:pPr>
        <w:spacing w:after="0"/>
        <w:jc w:val="both"/>
        <w:rPr>
          <w:rFonts w:cstheme="minorHAnsi"/>
        </w:rPr>
      </w:pPr>
    </w:p>
    <w:p w14:paraId="5B0B3136" w14:textId="1E177684" w:rsidR="005E4DD7" w:rsidRPr="00C05217" w:rsidRDefault="005E4DD7" w:rsidP="005E4DD7">
      <w:pPr>
        <w:spacing w:after="0"/>
        <w:jc w:val="both"/>
        <w:rPr>
          <w:rFonts w:cstheme="minorHAnsi"/>
          <w:b/>
        </w:rPr>
      </w:pPr>
      <w:r w:rsidRPr="00C05217">
        <w:rPr>
          <w:rFonts w:cstheme="minorHAnsi"/>
          <w:b/>
        </w:rPr>
        <w:t>AUTORIZACIÓN E HISTORIA</w:t>
      </w:r>
    </w:p>
    <w:p w14:paraId="487E570D" w14:textId="77777777" w:rsidR="005E4DD7" w:rsidRPr="00C05217" w:rsidRDefault="005E4DD7" w:rsidP="005E4DD7">
      <w:pPr>
        <w:spacing w:after="0"/>
        <w:jc w:val="both"/>
        <w:rPr>
          <w:b/>
          <w:bCs/>
          <w:sz w:val="24"/>
          <w:szCs w:val="24"/>
        </w:rPr>
      </w:pPr>
    </w:p>
    <w:p w14:paraId="1E6508D7" w14:textId="7AAD07A5" w:rsidR="00AC1015" w:rsidRDefault="00AC1015" w:rsidP="00AC1015">
      <w:pPr>
        <w:jc w:val="both"/>
      </w:pPr>
      <w:r w:rsidRPr="00AC1015">
        <w:rPr>
          <w:b/>
          <w:bCs/>
          <w:sz w:val="24"/>
          <w:szCs w:val="24"/>
        </w:rPr>
        <w:t>El Centro de Conciliación Laboral del Estado de Michoacán de Ocampo</w:t>
      </w:r>
      <w:r>
        <w:rPr>
          <w:b/>
          <w:bCs/>
          <w:sz w:val="24"/>
          <w:szCs w:val="24"/>
        </w:rPr>
        <w:t xml:space="preserve"> (CCLMICH) </w:t>
      </w:r>
      <w:r>
        <w:t>es un organismo descentralizado de la Administración Pública Estatal, especializado e imparcial, con personalidad jurídica y patrimonio propio, dotado de plena autonomía técnica, operativa, presupuestaria, de decisión y de gestión, en los términos de lo dispuesto en el artículo 148 párrafo tercero, cuarto y quinto de la Constitución Política del Estado Libre y Soberano de Michoacán de Ocampo, el cual queda sectorizado a la Secretaría responsable del sector laboral en la entidad.</w:t>
      </w:r>
      <w:r w:rsidRPr="00AC1015">
        <w:t xml:space="preserve"> </w:t>
      </w:r>
      <w:r>
        <w:t xml:space="preserve">El Centro de Conciliación Laboral del Estado de Michoacán de Ocampo fue creado mediante Decreto </w:t>
      </w:r>
      <w:proofErr w:type="spellStart"/>
      <w:r>
        <w:t>N°</w:t>
      </w:r>
      <w:proofErr w:type="spellEnd"/>
      <w:r>
        <w:t xml:space="preserve"> 60 expedido por el Congreso del Estado de Michoacán de Ocampo publicado el día 30 de </w:t>
      </w:r>
      <w:r w:rsidR="004E2991">
        <w:t>d</w:t>
      </w:r>
      <w:r>
        <w:t>iciembre del 2022 en el Periódico Oficial del Estado.</w:t>
      </w:r>
    </w:p>
    <w:p w14:paraId="4ED39192" w14:textId="23B971CE" w:rsidR="00AC1015" w:rsidRDefault="00AC1015" w:rsidP="00AC1015">
      <w:pPr>
        <w:jc w:val="both"/>
      </w:pPr>
      <w:r>
        <w:lastRenderedPageBreak/>
        <w:t xml:space="preserve">El régimen fiscal aplicable </w:t>
      </w:r>
      <w:r w:rsidR="00C135B7">
        <w:t>el Centro de Conciliación Laboral del Estado de Michoacán de Ocampo</w:t>
      </w:r>
      <w:r>
        <w:t>, es el correspondiente al de Personas Morales con Fines No Lucrativos según el artículo 95 fracción X de la Ley de Impuesto Sobre la Renta, por lo que se tiene solo la obligación de retener y enterar el impuesto retenido a terceros y exigir la documentación que reúna los requisitos fiscales cuando haga pagos y esté obligado a ello en los términos de Ley, en consecuencia tampoco es contribuyente sujeto a la Ley del Impuesto Empresarial a Tasa Única.</w:t>
      </w:r>
    </w:p>
    <w:p w14:paraId="3A9BD850" w14:textId="4209FF93" w:rsidR="00C135B7" w:rsidRDefault="00C135B7" w:rsidP="00AC1015">
      <w:pPr>
        <w:jc w:val="both"/>
      </w:pPr>
    </w:p>
    <w:p w14:paraId="211BA680" w14:textId="6FCEB869" w:rsidR="00C135B7" w:rsidRPr="004C439D" w:rsidRDefault="004C439D" w:rsidP="004C439D">
      <w:pPr>
        <w:jc w:val="center"/>
        <w:rPr>
          <w:b/>
          <w:bCs/>
          <w:sz w:val="28"/>
          <w:szCs w:val="28"/>
        </w:rPr>
      </w:pPr>
      <w:r w:rsidRPr="004C439D">
        <w:rPr>
          <w:b/>
          <w:bCs/>
          <w:sz w:val="28"/>
          <w:szCs w:val="28"/>
        </w:rPr>
        <w:t>NOTAS DE DESGLOSE</w:t>
      </w:r>
    </w:p>
    <w:p w14:paraId="65852414" w14:textId="4719AA44" w:rsidR="004C439D" w:rsidRDefault="004C439D" w:rsidP="00AC1015">
      <w:pPr>
        <w:jc w:val="both"/>
        <w:rPr>
          <w:b/>
          <w:bCs/>
        </w:rPr>
      </w:pPr>
      <w:r>
        <w:rPr>
          <w:b/>
          <w:bCs/>
        </w:rPr>
        <w:t>INFORMACION CONTABLE</w:t>
      </w:r>
    </w:p>
    <w:p w14:paraId="3C21C23E" w14:textId="21A3E1B5" w:rsidR="004C439D" w:rsidRDefault="004C439D" w:rsidP="00AC1015">
      <w:pPr>
        <w:jc w:val="both"/>
        <w:rPr>
          <w:b/>
          <w:bCs/>
        </w:rPr>
      </w:pPr>
      <w:r>
        <w:rPr>
          <w:b/>
          <w:bCs/>
        </w:rPr>
        <w:t>1.- NOTAS AL ESTADO DE SITUACIÓN FINANCIERA</w:t>
      </w:r>
    </w:p>
    <w:p w14:paraId="2CD51D7D" w14:textId="5B113743" w:rsidR="004C439D" w:rsidRDefault="004C439D" w:rsidP="00AC1015">
      <w:pPr>
        <w:jc w:val="both"/>
        <w:rPr>
          <w:b/>
          <w:bCs/>
        </w:rPr>
      </w:pPr>
      <w:r>
        <w:rPr>
          <w:b/>
          <w:bCs/>
        </w:rPr>
        <w:t>A) ACTIVO</w:t>
      </w:r>
    </w:p>
    <w:tbl>
      <w:tblPr>
        <w:tblW w:w="750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2126"/>
      </w:tblGrid>
      <w:tr w:rsidR="004C439D" w:rsidRPr="004C439D" w14:paraId="09302D99" w14:textId="77777777" w:rsidTr="004C439D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172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390" w14:textId="77777777" w:rsidR="004C439D" w:rsidRPr="004C439D" w:rsidRDefault="004C439D" w:rsidP="004C4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7A49" w14:textId="77777777" w:rsidR="004C439D" w:rsidRPr="004C439D" w:rsidRDefault="004C439D" w:rsidP="004C4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4C439D" w:rsidRPr="004C439D" w14:paraId="4D5248E1" w14:textId="77777777" w:rsidTr="004C439D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96D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BANCOS/TESORERÍA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FD6" w14:textId="384D60DC" w:rsidR="004C439D" w:rsidRPr="004C439D" w:rsidRDefault="00623497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34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F34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573,944.82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21ED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$ 1,804,067.51</w:t>
            </w:r>
          </w:p>
        </w:tc>
      </w:tr>
      <w:tr w:rsidR="004C439D" w:rsidRPr="004C439D" w14:paraId="7BBC5CB4" w14:textId="77777777" w:rsidTr="004C439D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BA06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TEMPORALES (HASTA 3 MESES)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3AA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016C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4C439D" w:rsidRPr="004C439D" w14:paraId="37D289FA" w14:textId="77777777" w:rsidTr="004C439D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8BE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FONDOS CON AFECTACIÓN ESPECÍFICA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489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87F" w14:textId="77777777" w:rsidR="004C439D" w:rsidRPr="004C439D" w:rsidRDefault="004C439D" w:rsidP="004C4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623497" w:rsidRPr="004C439D" w14:paraId="14FA89CD" w14:textId="77777777" w:rsidTr="004C439D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40D7F" w14:textId="77777777" w:rsidR="00623497" w:rsidRPr="004C439D" w:rsidRDefault="00623497" w:rsidP="00623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429" w14:textId="673B48D0" w:rsidR="00623497" w:rsidRPr="00C50976" w:rsidRDefault="00623497" w:rsidP="00623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509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F341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573,944.82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D7B" w14:textId="7D85CF9F" w:rsidR="00623497" w:rsidRPr="004C439D" w:rsidRDefault="00623497" w:rsidP="00623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C4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4C4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804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4C43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067.51</w:t>
            </w:r>
          </w:p>
        </w:tc>
      </w:tr>
    </w:tbl>
    <w:p w14:paraId="58C42940" w14:textId="77777777" w:rsidR="004C439D" w:rsidRDefault="004C439D" w:rsidP="00AC1015">
      <w:pPr>
        <w:jc w:val="both"/>
        <w:rPr>
          <w:b/>
          <w:bCs/>
          <w:sz w:val="24"/>
          <w:szCs w:val="24"/>
        </w:rPr>
      </w:pPr>
    </w:p>
    <w:p w14:paraId="7C4B23A5" w14:textId="4D23280C" w:rsidR="004C439D" w:rsidRDefault="004C439D" w:rsidP="00AC1015">
      <w:pPr>
        <w:jc w:val="both"/>
      </w:pPr>
      <w:r>
        <w:rPr>
          <w:b/>
          <w:bCs/>
          <w:sz w:val="24"/>
          <w:szCs w:val="24"/>
        </w:rPr>
        <w:t xml:space="preserve">EFECTIVO: </w:t>
      </w:r>
      <w:r>
        <w:t>El efectivo está constituido por moneda de curso legal y se encuentra a su valor nominal de ingresos propios captados por la cantidad de $ 0.</w:t>
      </w:r>
    </w:p>
    <w:p w14:paraId="51A1A2CB" w14:textId="53982A34" w:rsidR="004C439D" w:rsidRDefault="004C439D" w:rsidP="00AC1015">
      <w:pPr>
        <w:jc w:val="both"/>
      </w:pPr>
      <w:r>
        <w:rPr>
          <w:b/>
          <w:bCs/>
        </w:rPr>
        <w:t xml:space="preserve">BANCOS: </w:t>
      </w:r>
      <w:r>
        <w:t>Saldo de la cuenta de Bancos está constituido por moneda de curso legal y se encuentra a su valor nominal proveniente de todos los ingresos captados por el Centro, y está integrado por las siguientes cuentas:</w:t>
      </w:r>
    </w:p>
    <w:p w14:paraId="63BC0B17" w14:textId="3A43AF25" w:rsidR="00C50976" w:rsidRPr="00F341BC" w:rsidRDefault="00C50976" w:rsidP="00AC1015">
      <w:pPr>
        <w:jc w:val="both"/>
      </w:pPr>
      <w:r w:rsidRPr="000374AD">
        <w:rPr>
          <w:b/>
          <w:bCs/>
        </w:rPr>
        <w:t xml:space="preserve">BANREGIO </w:t>
      </w:r>
      <w:r>
        <w:rPr>
          <w:b/>
          <w:bCs/>
        </w:rPr>
        <w:t>CUENTA EJE</w:t>
      </w:r>
      <w:r w:rsidRPr="000374AD">
        <w:rPr>
          <w:b/>
          <w:bCs/>
        </w:rPr>
        <w:t xml:space="preserve"> </w:t>
      </w:r>
      <w:r>
        <w:rPr>
          <w:b/>
          <w:bCs/>
        </w:rPr>
        <w:t>210954310013</w:t>
      </w:r>
      <w:r w:rsidRPr="000374AD">
        <w:rPr>
          <w:b/>
          <w:bCs/>
        </w:rPr>
        <w:t xml:space="preserve"> </w:t>
      </w:r>
      <w:r>
        <w:rPr>
          <w:b/>
          <w:bCs/>
        </w:rPr>
        <w:t>2023</w:t>
      </w:r>
      <w:r w:rsidRPr="000374AD">
        <w:rPr>
          <w:b/>
          <w:bCs/>
        </w:rPr>
        <w:t xml:space="preserve"> – $</w:t>
      </w:r>
      <w:r w:rsidR="00F341BC">
        <w:rPr>
          <w:b/>
          <w:bCs/>
        </w:rPr>
        <w:t xml:space="preserve">1.031.18 </w:t>
      </w:r>
      <w:r w:rsidR="00F341BC">
        <w:t>Cuenta eje que vincula la banca electrónica del Centro.</w:t>
      </w:r>
    </w:p>
    <w:p w14:paraId="556C5836" w14:textId="1DCC3800" w:rsidR="004C439D" w:rsidRPr="000374AD" w:rsidRDefault="00C37566" w:rsidP="00AC1015">
      <w:pPr>
        <w:jc w:val="both"/>
      </w:pPr>
      <w:r w:rsidRPr="000374AD">
        <w:rPr>
          <w:b/>
          <w:bCs/>
        </w:rPr>
        <w:t>BANREGIO FONDO REVOLVENTE 210954270011 2023 – $</w:t>
      </w:r>
      <w:r w:rsidR="00BA4018">
        <w:rPr>
          <w:b/>
          <w:bCs/>
        </w:rPr>
        <w:t>0.00</w:t>
      </w:r>
      <w:r w:rsidRPr="000374AD">
        <w:rPr>
          <w:b/>
          <w:bCs/>
        </w:rPr>
        <w:t xml:space="preserve"> </w:t>
      </w:r>
      <w:r w:rsidRPr="000374AD">
        <w:t>Correspondiente al Fondo Revolvente solicitado a la Secretaría de Finanzas y Administración.</w:t>
      </w:r>
    </w:p>
    <w:p w14:paraId="2BDE40B8" w14:textId="21B0A2EE" w:rsidR="00C37566" w:rsidRPr="000374AD" w:rsidRDefault="00C37566" w:rsidP="00AC1015">
      <w:pPr>
        <w:jc w:val="both"/>
      </w:pPr>
      <w:r w:rsidRPr="000374AD">
        <w:rPr>
          <w:b/>
          <w:bCs/>
        </w:rPr>
        <w:t>BANREGIO PRESUPUESTO 210954260016 2023 – $</w:t>
      </w:r>
      <w:r w:rsidR="00F341BC">
        <w:rPr>
          <w:b/>
          <w:bCs/>
        </w:rPr>
        <w:t>28</w:t>
      </w:r>
      <w:r w:rsidR="00BA4018">
        <w:rPr>
          <w:b/>
          <w:bCs/>
        </w:rPr>
        <w:t>,</w:t>
      </w:r>
      <w:r w:rsidR="00F341BC">
        <w:rPr>
          <w:b/>
          <w:bCs/>
        </w:rPr>
        <w:t>001</w:t>
      </w:r>
      <w:r w:rsidR="00BA4018">
        <w:rPr>
          <w:b/>
          <w:bCs/>
        </w:rPr>
        <w:t>.</w:t>
      </w:r>
      <w:r w:rsidR="00F341BC">
        <w:rPr>
          <w:b/>
          <w:bCs/>
        </w:rPr>
        <w:t>08</w:t>
      </w:r>
      <w:r w:rsidRPr="000374AD">
        <w:rPr>
          <w:b/>
          <w:bCs/>
        </w:rPr>
        <w:t xml:space="preserve"> </w:t>
      </w:r>
      <w:r w:rsidRPr="000374AD">
        <w:t>Correspondiente al Fondo General de Participaciones.</w:t>
      </w:r>
    </w:p>
    <w:p w14:paraId="7F09E91E" w14:textId="4D9B6A22" w:rsidR="00C37566" w:rsidRPr="000374AD" w:rsidRDefault="00C37566" w:rsidP="00AC1015">
      <w:pPr>
        <w:jc w:val="both"/>
      </w:pPr>
      <w:r w:rsidRPr="000374AD">
        <w:rPr>
          <w:b/>
          <w:bCs/>
        </w:rPr>
        <w:t>SECRETARIA DE FINANZAS Y ADMINISTRACION NOMINA 2022 - $</w:t>
      </w:r>
      <w:r w:rsidR="002B1677">
        <w:rPr>
          <w:b/>
          <w:bCs/>
        </w:rPr>
        <w:t>544,912.56</w:t>
      </w:r>
      <w:r w:rsidRPr="000374AD">
        <w:rPr>
          <w:b/>
          <w:bCs/>
        </w:rPr>
        <w:t xml:space="preserve"> </w:t>
      </w:r>
      <w:r w:rsidRPr="000374AD">
        <w:t>Correspondiente a fondeos pendientes de reclasificar por aplicaciones de nóminas correspondientes al ejercicio 2022.</w:t>
      </w:r>
    </w:p>
    <w:p w14:paraId="32378601" w14:textId="77777777" w:rsidR="006E70D4" w:rsidRDefault="006E70D4" w:rsidP="00AC1015">
      <w:pPr>
        <w:jc w:val="both"/>
      </w:pPr>
    </w:p>
    <w:p w14:paraId="66017F84" w14:textId="77777777" w:rsidR="00F341BC" w:rsidRDefault="00F341BC" w:rsidP="00AC1015">
      <w:pPr>
        <w:jc w:val="both"/>
      </w:pPr>
    </w:p>
    <w:p w14:paraId="40EC82BA" w14:textId="488F4E68" w:rsidR="006E70D4" w:rsidRDefault="006E70D4" w:rsidP="00AC1015">
      <w:pPr>
        <w:jc w:val="both"/>
        <w:rPr>
          <w:b/>
          <w:bCs/>
        </w:rPr>
      </w:pPr>
      <w:r w:rsidRPr="006E70D4">
        <w:rPr>
          <w:b/>
          <w:bCs/>
        </w:rPr>
        <w:lastRenderedPageBreak/>
        <w:t>DERECHOS A RECIBIR EFECTIVO Y EQUIVALENTES Y BIENES O SERVICIOS A RECIBIR</w:t>
      </w:r>
    </w:p>
    <w:tbl>
      <w:tblPr>
        <w:tblW w:w="8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6"/>
        <w:gridCol w:w="1851"/>
        <w:gridCol w:w="1941"/>
      </w:tblGrid>
      <w:tr w:rsidR="006E70D4" w:rsidRPr="006E70D4" w14:paraId="55104BBA" w14:textId="77777777" w:rsidTr="006E70D4">
        <w:trPr>
          <w:trHeight w:val="2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EB81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8947" w14:textId="77777777" w:rsidR="006E70D4" w:rsidRPr="006E70D4" w:rsidRDefault="006E70D4" w:rsidP="006E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6BB1" w14:textId="77777777" w:rsidR="006E70D4" w:rsidRPr="006E70D4" w:rsidRDefault="006E70D4" w:rsidP="006E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6E70D4" w:rsidRPr="006E70D4" w14:paraId="4F5EBD06" w14:textId="77777777" w:rsidTr="006E70D4">
        <w:trPr>
          <w:trHeight w:val="2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0419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CUENTAS POR COBRAR A CORTO PLAZO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11A4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9A36A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F341BC" w:rsidRPr="006E70D4" w14:paraId="038F1F47" w14:textId="77777777" w:rsidTr="006E70D4">
        <w:trPr>
          <w:trHeight w:val="2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425D8" w14:textId="4435803B" w:rsidR="00F341BC" w:rsidRPr="006E70D4" w:rsidRDefault="00F341BC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POR RECUPERAR A CORTO PLAZO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CA7BB" w14:textId="30579455" w:rsidR="00F341BC" w:rsidRPr="006E70D4" w:rsidRDefault="00F341BC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$ 1,034,724.12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BB017" w14:textId="46CDCCE4" w:rsidR="00F341BC" w:rsidRPr="006E70D4" w:rsidRDefault="00F341BC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6E70D4" w:rsidRPr="006E70D4" w14:paraId="4ADFE64D" w14:textId="77777777" w:rsidTr="006E70D4">
        <w:trPr>
          <w:trHeight w:val="2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66CC5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 POR COBRAR A CORTO PLAZO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77006" w14:textId="1CFCF31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F34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16155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6E70D4" w:rsidRPr="006E70D4" w14:paraId="515C23A1" w14:textId="77777777" w:rsidTr="006E70D4">
        <w:trPr>
          <w:trHeight w:val="2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EB85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DERECHOS A RECIBIR EFECTIVO O EQUIVALENTES A CORTO PLAZO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1519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$ 37,898.91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3A5E" w14:textId="77777777" w:rsidR="006E70D4" w:rsidRPr="006E70D4" w:rsidRDefault="006E70D4" w:rsidP="006E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$ 37,898.91</w:t>
            </w:r>
          </w:p>
        </w:tc>
      </w:tr>
      <w:tr w:rsidR="006E70D4" w:rsidRPr="006E70D4" w14:paraId="27787601" w14:textId="77777777" w:rsidTr="006E70D4">
        <w:trPr>
          <w:trHeight w:val="2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BE83" w14:textId="77777777" w:rsidR="006E70D4" w:rsidRPr="006E70D4" w:rsidRDefault="006E70D4" w:rsidP="006E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9E6C" w14:textId="21D07E5B" w:rsidR="006E70D4" w:rsidRPr="006E70D4" w:rsidRDefault="00623497" w:rsidP="006E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F341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1,072</w:t>
            </w:r>
            <w:r w:rsidR="00BA40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F341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623.03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9896" w14:textId="77777777" w:rsidR="006E70D4" w:rsidRPr="006E70D4" w:rsidRDefault="006E70D4" w:rsidP="006E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$ 37,898.91</w:t>
            </w:r>
          </w:p>
        </w:tc>
      </w:tr>
    </w:tbl>
    <w:p w14:paraId="22F0BA3E" w14:textId="77777777" w:rsidR="006E70D4" w:rsidRDefault="006E70D4" w:rsidP="00AC1015">
      <w:pPr>
        <w:jc w:val="both"/>
        <w:rPr>
          <w:b/>
          <w:bCs/>
        </w:rPr>
      </w:pPr>
    </w:p>
    <w:p w14:paraId="5968D758" w14:textId="2DCD2DFE" w:rsidR="00F341BC" w:rsidRPr="00F341BC" w:rsidRDefault="00F341BC" w:rsidP="00AC1015">
      <w:pPr>
        <w:jc w:val="both"/>
      </w:pPr>
      <w:r>
        <w:rPr>
          <w:b/>
          <w:bCs/>
        </w:rPr>
        <w:t xml:space="preserve">INGRESOS POR RECUPERAR A CORTO PLAZO: </w:t>
      </w:r>
      <w:r>
        <w:t>El importe corresponde a los pasivos generado en el mes de diciembre para el pago de las retenciones de ISR por salarios e ISN estatal.</w:t>
      </w:r>
    </w:p>
    <w:p w14:paraId="080504A4" w14:textId="3591E637" w:rsidR="00C37566" w:rsidRDefault="000374AD" w:rsidP="00AC1015">
      <w:pPr>
        <w:jc w:val="both"/>
      </w:pPr>
      <w:r w:rsidRPr="000374AD">
        <w:rPr>
          <w:b/>
          <w:bCs/>
        </w:rPr>
        <w:t>BIENES INMUEBLES, INFRAESTRUCTURA Y CONSTRUCCIONES.</w:t>
      </w:r>
      <w:r>
        <w:t xml:space="preserve"> - Las inversiones en muebles e inmuebles, representan en el transcurso del tiempo, un gasto por aquellas cantidades que no son susceptibles de recuperación. Tanto estos activos como los intangibles tienen como beneficio el generar beneficios, económicos o sociales. Independientemente de que el ente tenga fines exclusivamente gubernamentales, genera algún beneficio.</w:t>
      </w:r>
    </w:p>
    <w:p w14:paraId="721BC94D" w14:textId="32A98FF7" w:rsidR="000374AD" w:rsidRDefault="000374AD" w:rsidP="00AC1015">
      <w:pPr>
        <w:jc w:val="both"/>
      </w:pPr>
      <w:r>
        <w:t>El Centro de Conciliación Laboral del Estado de Michoacán de Ocampo no cuenta con esta clase de bienes al periodo de</w:t>
      </w:r>
      <w:r w:rsidR="00957560">
        <w:t xml:space="preserve"> </w:t>
      </w:r>
      <w:proofErr w:type="gramStart"/>
      <w:r w:rsidR="00957560">
        <w:t>Dic</w:t>
      </w:r>
      <w:r w:rsidR="00BA4018">
        <w:t>iembre</w:t>
      </w:r>
      <w:proofErr w:type="gramEnd"/>
      <w:r>
        <w:t xml:space="preserve"> 2023.</w:t>
      </w:r>
    </w:p>
    <w:p w14:paraId="3AE5C74A" w14:textId="77777777" w:rsidR="000374AD" w:rsidRPr="00320542" w:rsidRDefault="000374AD" w:rsidP="00AC1015">
      <w:pPr>
        <w:jc w:val="both"/>
        <w:rPr>
          <w:b/>
          <w:bCs/>
        </w:rPr>
      </w:pPr>
    </w:p>
    <w:p w14:paraId="51319F74" w14:textId="2F9B8E62" w:rsidR="00320542" w:rsidRDefault="00320542" w:rsidP="00AC1015">
      <w:pPr>
        <w:jc w:val="both"/>
      </w:pPr>
      <w:r w:rsidRPr="00320542">
        <w:rPr>
          <w:b/>
          <w:bCs/>
        </w:rPr>
        <w:t>BIENES MUEBLES</w:t>
      </w:r>
      <w:r>
        <w:t>. - El valor histórico de los bienes muebles del Instituto asciende a $</w:t>
      </w:r>
      <w:r w:rsidR="00957560">
        <w:t>1</w:t>
      </w:r>
      <w:r>
        <w:t>,</w:t>
      </w:r>
      <w:r w:rsidR="00957560">
        <w:t>190,389</w:t>
      </w:r>
      <w:r>
        <w:t>.</w:t>
      </w:r>
      <w:r w:rsidR="00957560">
        <w:t>4</w:t>
      </w:r>
      <w:r>
        <w:t>0 (</w:t>
      </w:r>
      <w:r w:rsidR="00957560">
        <w:t>Un millón ciento noventa mil trescientos ochenta y nueve</w:t>
      </w:r>
      <w:r>
        <w:t xml:space="preserve"> pesos </w:t>
      </w:r>
      <w:r w:rsidR="00957560">
        <w:t>40</w:t>
      </w:r>
      <w:r>
        <w:t>/100 M.N.) constituido por las adquisiciones y está conformado por:</w:t>
      </w:r>
    </w:p>
    <w:tbl>
      <w:tblPr>
        <w:tblW w:w="637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2070"/>
        <w:gridCol w:w="1559"/>
      </w:tblGrid>
      <w:tr w:rsidR="00320542" w:rsidRPr="00320542" w14:paraId="3C4D2D3C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755E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614" w14:textId="77777777" w:rsidR="00320542" w:rsidRPr="00320542" w:rsidRDefault="00320542" w:rsidP="00320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2CB" w14:textId="77777777" w:rsidR="00320542" w:rsidRPr="00320542" w:rsidRDefault="00320542" w:rsidP="00320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320542" w:rsidRPr="00320542" w14:paraId="4A91822A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612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6EC3" w14:textId="206B322F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BA40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  <w:r w:rsidR="00C509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BA40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</w:t>
            </w: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="00BA40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9D0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320542" w:rsidRPr="00320542" w14:paraId="5DCC18A3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88A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376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CAB9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320542" w:rsidRPr="00320542" w14:paraId="5DFD2DEA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1C0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91A" w14:textId="259B5018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C509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887,500.00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915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320542" w:rsidRPr="00320542" w14:paraId="0288429A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4831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600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4E9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320542" w:rsidRPr="00320542" w14:paraId="70085B0A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D43" w14:textId="77777777" w:rsidR="00320542" w:rsidRPr="00320542" w:rsidRDefault="00320542" w:rsidP="003205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BIENES MUEBLES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97A" w14:textId="0F12CE92" w:rsidR="00320542" w:rsidRPr="00320542" w:rsidRDefault="002B1677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BA40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1,190,389.40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865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20542" w:rsidRPr="00320542" w14:paraId="481A5565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49C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CF75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8A7B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320542" w:rsidRPr="00320542" w14:paraId="7553F209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CD3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78EC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A709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320542" w:rsidRPr="00320542" w14:paraId="7CC9AFB5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772" w14:textId="77777777" w:rsidR="00320542" w:rsidRPr="00320542" w:rsidRDefault="00320542" w:rsidP="003205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ACTIVOS INTANGIBLES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3C7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C814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20542" w:rsidRPr="00320542" w14:paraId="59069459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A1D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 ACUMULADA DE BIENES MUEBLES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0202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0102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320542" w:rsidRPr="00320542" w14:paraId="0CF4619B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0660" w14:textId="77777777" w:rsidR="00320542" w:rsidRPr="00320542" w:rsidRDefault="00320542" w:rsidP="003205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DEPRECIACIÓN, DETERIORO Y AMORTIZACIÓN ACUMULADA DE BIENES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E3C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42ED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320542" w:rsidRPr="00320542" w14:paraId="503E303C" w14:textId="77777777" w:rsidTr="00320542">
        <w:trPr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332E" w14:textId="77777777" w:rsidR="00320542" w:rsidRPr="00320542" w:rsidRDefault="00320542" w:rsidP="003205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2435" w14:textId="11F33545" w:rsidR="00320542" w:rsidRPr="00320542" w:rsidRDefault="002B1677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BA40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1,1</w:t>
            </w:r>
            <w:r w:rsidR="00C509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BA40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0,389.40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D71" w14:textId="77777777" w:rsidR="00320542" w:rsidRPr="00320542" w:rsidRDefault="00320542" w:rsidP="0032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05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2754F770" w14:textId="33995800" w:rsidR="00320542" w:rsidRDefault="00320542" w:rsidP="00AC1015">
      <w:pPr>
        <w:jc w:val="both"/>
        <w:rPr>
          <w:b/>
          <w:bCs/>
        </w:rPr>
      </w:pPr>
    </w:p>
    <w:p w14:paraId="0781D7F8" w14:textId="77777777" w:rsidR="00320542" w:rsidRDefault="00320542" w:rsidP="00AC1015">
      <w:pPr>
        <w:jc w:val="both"/>
        <w:rPr>
          <w:b/>
          <w:bCs/>
        </w:rPr>
      </w:pPr>
    </w:p>
    <w:p w14:paraId="0C16F216" w14:textId="00D01167" w:rsidR="00320542" w:rsidRDefault="00320542" w:rsidP="00AC1015">
      <w:pPr>
        <w:jc w:val="both"/>
        <w:rPr>
          <w:b/>
          <w:bCs/>
        </w:rPr>
      </w:pPr>
      <w:r>
        <w:rPr>
          <w:b/>
          <w:bCs/>
        </w:rPr>
        <w:t>B) PASIVO</w:t>
      </w:r>
    </w:p>
    <w:p w14:paraId="0DF6B18B" w14:textId="3C9C832D" w:rsidR="00320542" w:rsidRDefault="006E70D4" w:rsidP="00AC1015">
      <w:pPr>
        <w:jc w:val="both"/>
      </w:pPr>
      <w:r w:rsidRPr="006E70D4">
        <w:rPr>
          <w:b/>
          <w:bCs/>
        </w:rPr>
        <w:t>RETENCIONES Y CONTRIBUCIONES POR PAGAR A CORTO PLAZO.</w:t>
      </w:r>
      <w:r>
        <w:t xml:space="preserve"> Son los compromisos adquiridos por el Centro con los proveedores y por obligaciones a cargo con motivo de las adquisiciones de materiales e insumos así como la prestación de servicios para la operación del mismo, así como la provisión de impuestos y obligaciones consolidadas que conforman por los importes retenidos al personal directivo y administrativo por las remuneraciones por un trabajo personal subordinado previsto en el Título IV, Capítulo I, Artículo 110 fracción I de la Ley del Impuesto Sobre la Renta.</w:t>
      </w:r>
    </w:p>
    <w:tbl>
      <w:tblPr>
        <w:tblW w:w="86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3"/>
        <w:gridCol w:w="2241"/>
      </w:tblGrid>
      <w:tr w:rsidR="006E70D4" w:rsidRPr="006E70D4" w14:paraId="1D844BA8" w14:textId="77777777" w:rsidTr="006E70D4">
        <w:trPr>
          <w:trHeight w:val="27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FF7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B9732" w14:textId="77777777" w:rsidR="006E70D4" w:rsidRPr="006E70D4" w:rsidRDefault="006E70D4" w:rsidP="006E70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6E70D4" w:rsidRPr="006E70D4" w14:paraId="0481157C" w14:textId="77777777" w:rsidTr="006E70D4">
        <w:trPr>
          <w:trHeight w:val="27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347C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 POR PAGAR A CORTO PLAZO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BAF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6E70D4" w:rsidRPr="006E70D4" w14:paraId="76F56690" w14:textId="77777777" w:rsidTr="006E70D4">
        <w:trPr>
          <w:trHeight w:val="27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1A7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RETENCIONES Y CONTRIBUCIONES POR PAGAR A CORTO PLAZO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B8EF" w14:textId="2A512FC6" w:rsidR="006E70D4" w:rsidRPr="006E70D4" w:rsidRDefault="00006653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</w:t>
            </w:r>
            <w:r w:rsidR="004D1D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674.13</w:t>
            </w:r>
          </w:p>
        </w:tc>
      </w:tr>
      <w:tr w:rsidR="006E70D4" w:rsidRPr="006E70D4" w14:paraId="4C64FCC1" w14:textId="77777777" w:rsidTr="006E70D4">
        <w:trPr>
          <w:trHeight w:val="27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5ED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POR CLASIFICAR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96D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6E70D4" w:rsidRPr="006E70D4" w14:paraId="5984484B" w14:textId="77777777" w:rsidTr="006E70D4">
        <w:trPr>
          <w:trHeight w:val="27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001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PROVEEDORES POR PAGAR A CORTO PLAZO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2AD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6E70D4" w:rsidRPr="006E70D4" w14:paraId="44793854" w14:textId="77777777" w:rsidTr="006E70D4">
        <w:trPr>
          <w:trHeight w:val="27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018" w14:textId="77777777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OTRAS CUENTAS POR PAGAR A CORTO PLAZO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34F" w14:textId="43265EDD" w:rsidR="006E70D4" w:rsidRPr="006E70D4" w:rsidRDefault="006E70D4" w:rsidP="006E70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FC7B2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25,595.62</w:t>
            </w:r>
          </w:p>
        </w:tc>
      </w:tr>
      <w:tr w:rsidR="006E70D4" w:rsidRPr="006E70D4" w14:paraId="3DA9D849" w14:textId="77777777" w:rsidTr="006E70D4">
        <w:trPr>
          <w:trHeight w:val="27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C50E" w14:textId="77777777" w:rsidR="006E70D4" w:rsidRPr="006E70D4" w:rsidRDefault="006E70D4" w:rsidP="006E70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70D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Suma PASIVO CIRCULANTE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A26C" w14:textId="240D3420" w:rsidR="006E70D4" w:rsidRPr="006E70D4" w:rsidRDefault="004D1DAC" w:rsidP="006E70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00665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211</w:t>
            </w:r>
            <w:r w:rsidR="0000665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269</w:t>
            </w:r>
            <w:r w:rsidR="0000665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FC7B2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95</w:t>
            </w:r>
          </w:p>
        </w:tc>
      </w:tr>
    </w:tbl>
    <w:p w14:paraId="06E55783" w14:textId="1ECA1BB4" w:rsidR="006E70D4" w:rsidRDefault="006E70D4" w:rsidP="00AC1015">
      <w:pPr>
        <w:jc w:val="both"/>
      </w:pPr>
    </w:p>
    <w:p w14:paraId="07CAA521" w14:textId="4B940B83" w:rsidR="001B5DF8" w:rsidRDefault="001B5DF8" w:rsidP="00AC1015">
      <w:pPr>
        <w:jc w:val="both"/>
      </w:pPr>
      <w:r>
        <w:t>Los importes de otras cuentas por cobrar corresponden a un registro pendiente de nóminas del ejercicio 2022</w:t>
      </w:r>
      <w:r w:rsidR="004D1DAC">
        <w:t xml:space="preserve"> además de diversas retenciones que se pagan a nombre de los trabajadores a través de descuentos de nómina pendientes de conciliar</w:t>
      </w:r>
      <w:r>
        <w:t>.</w:t>
      </w:r>
    </w:p>
    <w:p w14:paraId="0361F320" w14:textId="77777777" w:rsidR="001B5DF8" w:rsidRDefault="001B5DF8" w:rsidP="00AC1015">
      <w:pPr>
        <w:jc w:val="both"/>
      </w:pPr>
    </w:p>
    <w:p w14:paraId="4102DA97" w14:textId="2557FB01" w:rsidR="00844526" w:rsidRDefault="00844526" w:rsidP="00844526">
      <w:pPr>
        <w:rPr>
          <w:b/>
          <w:bCs/>
        </w:rPr>
      </w:pPr>
      <w:r w:rsidRPr="00844526">
        <w:rPr>
          <w:b/>
          <w:bCs/>
        </w:rPr>
        <w:t>2.- NOTAS AL ESTADO DE ACTIVIDADES</w:t>
      </w:r>
    </w:p>
    <w:p w14:paraId="13DAE705" w14:textId="77777777" w:rsidR="00844526" w:rsidRDefault="00844526" w:rsidP="00844526">
      <w:pPr>
        <w:rPr>
          <w:b/>
          <w:bCs/>
        </w:rPr>
      </w:pPr>
    </w:p>
    <w:tbl>
      <w:tblPr>
        <w:tblW w:w="7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5"/>
        <w:gridCol w:w="2095"/>
      </w:tblGrid>
      <w:tr w:rsidR="00844526" w:rsidRPr="00844526" w14:paraId="61B58140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39DF9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42F5" w14:textId="77777777" w:rsidR="00844526" w:rsidRPr="00844526" w:rsidRDefault="00844526" w:rsidP="00844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844526" w:rsidRPr="00844526" w14:paraId="7D1197DD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2B3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GENERAL DE PARTICIPACIONES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1677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6F37E370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E1D0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PARTICIPACIONES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AB07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           -   </w:t>
            </w:r>
          </w:p>
        </w:tc>
      </w:tr>
      <w:tr w:rsidR="00844526" w:rsidRPr="00844526" w14:paraId="7838DA87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CDC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C06C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2B80E017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171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APORTACIONES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D464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           -   </w:t>
            </w:r>
          </w:p>
        </w:tc>
      </w:tr>
      <w:tr w:rsidR="00844526" w:rsidRPr="00844526" w14:paraId="3420D676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18B14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4FF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346992B9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2EF4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86C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14CBCD6F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4BA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CONVENIOS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9564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           -   </w:t>
            </w:r>
          </w:p>
        </w:tc>
      </w:tr>
      <w:tr w:rsidR="00844526" w:rsidRPr="00844526" w14:paraId="2A1B9ECC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654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INCENTIVOS DERIVADOS DE LA COLABORACIÓN FISCAL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E8B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40A44BB2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9B6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INCENTIVOS DERIVADOS DE LA COLABORACIÓN FISCAL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F72D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           -   </w:t>
            </w:r>
          </w:p>
        </w:tc>
      </w:tr>
      <w:tr w:rsidR="00844526" w:rsidRPr="00844526" w14:paraId="693650AE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281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FONDOS DISTINTOS DE APORTACIONES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CB5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2F01B594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6C0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FONDOS DISTINTOS DE APORTACIONES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FA10A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           -   </w:t>
            </w:r>
          </w:p>
        </w:tc>
      </w:tr>
      <w:tr w:rsidR="00844526" w:rsidRPr="00844526" w14:paraId="7AA26B18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A66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TRANSFERENCIAS Y ASIGNACIONES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64A" w14:textId="6AF9DB28" w:rsid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FC7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</w:t>
            </w: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</w:t>
            </w:r>
          </w:p>
          <w:p w14:paraId="6024B0E0" w14:textId="544E769D" w:rsidR="00FC7B26" w:rsidRPr="00844526" w:rsidRDefault="00FC7B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44526" w:rsidRPr="00844526" w14:paraId="10292668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833C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TRANSFERENCIAS Y ASIGNACIONES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7706" w14:textId="5EA30C50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</w:t>
            </w:r>
            <w:r w:rsidR="00FC7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33</w:t>
            </w: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595</w:t>
            </w: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FC7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519</w:t>
            </w: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844526" w:rsidRPr="00844526" w14:paraId="1E5B43E2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15C3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SUBSIDIOS Y SUBVENCIONES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33D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621BBAFA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BD6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SUBSIDIOS Y SUBVENCIONES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50634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           -   </w:t>
            </w:r>
          </w:p>
        </w:tc>
      </w:tr>
      <w:tr w:rsidR="00844526" w:rsidRPr="00844526" w14:paraId="5BFC20F9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A9A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F15C" w14:textId="77777777" w:rsidR="00844526" w:rsidRPr="00844526" w:rsidRDefault="00844526" w:rsidP="0084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.00</w:t>
            </w:r>
          </w:p>
        </w:tc>
      </w:tr>
      <w:tr w:rsidR="00844526" w:rsidRPr="00844526" w14:paraId="72379B9E" w14:textId="77777777" w:rsidTr="00844526">
        <w:trPr>
          <w:trHeight w:val="24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664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PENSIONES Y JUBILACIONES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886C9" w14:textId="77777777" w:rsidR="00844526" w:rsidRPr="00844526" w:rsidRDefault="00844526" w:rsidP="00844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44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           -   </w:t>
            </w:r>
          </w:p>
        </w:tc>
      </w:tr>
    </w:tbl>
    <w:p w14:paraId="795AA1B8" w14:textId="77777777" w:rsidR="00844526" w:rsidRPr="00844526" w:rsidRDefault="00844526" w:rsidP="00844526">
      <w:pPr>
        <w:rPr>
          <w:b/>
          <w:bCs/>
        </w:rPr>
      </w:pPr>
    </w:p>
    <w:p w14:paraId="5046B197" w14:textId="4095732A" w:rsidR="001B5DF8" w:rsidRDefault="00844526" w:rsidP="00AC1015">
      <w:pPr>
        <w:jc w:val="both"/>
      </w:pPr>
      <w:r>
        <w:t xml:space="preserve">El total de ingresos </w:t>
      </w:r>
      <w:r w:rsidRPr="00844526">
        <w:rPr>
          <w:b/>
          <w:bCs/>
        </w:rPr>
        <w:t>$</w:t>
      </w:r>
      <w:r w:rsidR="00FC7B26">
        <w:rPr>
          <w:b/>
          <w:bCs/>
        </w:rPr>
        <w:t>33,595,519</w:t>
      </w:r>
      <w:r>
        <w:t xml:space="preserve"> corresponden a Transferencias y Asignaciones por parte de la Secretaría de Finanzas, derivadas de las Participaciones Federales asignadas a las Entidades. Hasta el mes de marzo se tenían clasificadas en la fuente de financiamiento de Participaciones</w:t>
      </w:r>
      <w:r w:rsidR="004D1DAC">
        <w:t>.</w:t>
      </w:r>
    </w:p>
    <w:p w14:paraId="27E58F5C" w14:textId="77777777" w:rsidR="00844526" w:rsidRDefault="00844526" w:rsidP="00AC1015">
      <w:pPr>
        <w:jc w:val="both"/>
      </w:pPr>
    </w:p>
    <w:p w14:paraId="45EF6A2A" w14:textId="77777777" w:rsidR="00844526" w:rsidRDefault="00844526" w:rsidP="00AC1015">
      <w:pPr>
        <w:jc w:val="both"/>
      </w:pPr>
      <w:r w:rsidRPr="00844526">
        <w:rPr>
          <w:b/>
          <w:bCs/>
        </w:rPr>
        <w:t>BASES PARA PREPARACIÓN DE LOS ESTADOS FINANCIEROS</w:t>
      </w:r>
    </w:p>
    <w:p w14:paraId="4A8D242A" w14:textId="77777777" w:rsidR="00844526" w:rsidRDefault="00844526" w:rsidP="00AC1015">
      <w:pPr>
        <w:jc w:val="both"/>
      </w:pPr>
      <w:r>
        <w:t xml:space="preserve">Los Estados Financieros y la información emanada de la contabilidad se sujeta a criterios de utilidad, confiabilidad, relevancia y compresibilidad, así como a otros atributos asociados a cada uno de ellos como oportunidad, veracidad, representatividad, objetividad, posibilidad de predicción, suficiencia, e importancia relativa, con el fin de alcanzar la modernización y armonización de la Ley General de Contabilidad Gubernamental determinada. </w:t>
      </w:r>
    </w:p>
    <w:p w14:paraId="141F9FC0" w14:textId="04301EEB" w:rsidR="00844526" w:rsidRDefault="00844526" w:rsidP="00AC1015">
      <w:pPr>
        <w:jc w:val="both"/>
      </w:pPr>
      <w:r>
        <w:t>Los registros se efectúan considerando la base acumulativa para la integración de la información presupuestaria y contable. La contabilización de las transacciones del gasto se hace conforme a la fecha de su realización independientemente de la de su pago y la del ingreso cuando existe jurídicamente el derecho de cobro. El sistema facilita el reconocimiento de las operaciones de ingresos, gastos, activos, pasivos y patrimoniales.</w:t>
      </w:r>
    </w:p>
    <w:p w14:paraId="77DE5575" w14:textId="0A7E293A" w:rsidR="00844526" w:rsidRDefault="00844526" w:rsidP="00AC1015">
      <w:pPr>
        <w:jc w:val="both"/>
      </w:pPr>
      <w:r>
        <w:t>Los Estados Financieros están apegados a las Normas de Información Financiera, Ley General de Contabilidad Gubernamental, Manual de Contabilidad Gubernamental y Medidas de Racionalidad, Disciplina y Eficiencia del Gasto Público.</w:t>
      </w:r>
    </w:p>
    <w:p w14:paraId="5F51A201" w14:textId="3C8D196E" w:rsidR="00844526" w:rsidRDefault="00844526" w:rsidP="00AC1015">
      <w:pPr>
        <w:jc w:val="both"/>
      </w:pPr>
      <w:r>
        <w:t>Los estados financieros al 3</w:t>
      </w:r>
      <w:r w:rsidR="00CA67A3">
        <w:t>1</w:t>
      </w:r>
      <w:r>
        <w:t xml:space="preserve"> de </w:t>
      </w:r>
      <w:r w:rsidR="00CA67A3">
        <w:t>dic</w:t>
      </w:r>
      <w:r w:rsidR="00216B47">
        <w:t>iembre</w:t>
      </w:r>
      <w:r>
        <w:t xml:space="preserve"> del 2023 están en pesos históricos y no reconocen los efectos de la inflación en la Información Financiera contenidos en las Normas de Información Financiera, en tanto la CONAC no emita lo conducente.</w:t>
      </w:r>
    </w:p>
    <w:p w14:paraId="2181BB08" w14:textId="77777777" w:rsidR="00844526" w:rsidRDefault="00844526" w:rsidP="00AC1015">
      <w:pPr>
        <w:jc w:val="both"/>
      </w:pPr>
    </w:p>
    <w:p w14:paraId="1E30747F" w14:textId="7F136B7C" w:rsidR="00844526" w:rsidRDefault="00844526" w:rsidP="00AC1015">
      <w:pPr>
        <w:jc w:val="both"/>
      </w:pPr>
      <w:r>
        <w:t>La información se elabora conforme a las normas, criterios y principios técnicos emitidos por la CONAC y las disposiciones legales aplicables, obedeciendo a las mejores prácticas contables.</w:t>
      </w:r>
    </w:p>
    <w:p w14:paraId="424F151C" w14:textId="622A9A26" w:rsidR="00844526" w:rsidRDefault="00844526" w:rsidP="00AC1015">
      <w:pPr>
        <w:jc w:val="both"/>
      </w:pPr>
      <w:r>
        <w:t>Para la clasificación y registro de las operaciones presupuestarias se alinea al Clasificador por Objeto del Gasto, Clasificador por Tipo de Gasto y Clasificador por Rubro de Ingresos emitido por la Secretaría de Finanzas al Plan de Cuentas emitido por la CONAC.</w:t>
      </w:r>
    </w:p>
    <w:p w14:paraId="41373539" w14:textId="77777777" w:rsidR="00844526" w:rsidRDefault="00844526" w:rsidP="00AC1015">
      <w:pPr>
        <w:jc w:val="both"/>
      </w:pPr>
      <w:r>
        <w:lastRenderedPageBreak/>
        <w:t xml:space="preserve">“Bajo protesta de decir verdad declaramos que los Estados Financieros y sus notas, son razonablemente correctos y son responsabilidad del emisor”. </w:t>
      </w:r>
    </w:p>
    <w:p w14:paraId="06907375" w14:textId="696754CD" w:rsidR="00844526" w:rsidRDefault="00844526" w:rsidP="00AC1015">
      <w:pPr>
        <w:jc w:val="both"/>
      </w:pPr>
      <w:r>
        <w:t xml:space="preserve">Las notas descritas son parte integral de los estados financieros al </w:t>
      </w:r>
      <w:r w:rsidR="00252896">
        <w:t>3</w:t>
      </w:r>
      <w:r w:rsidR="003E6068">
        <w:t>1</w:t>
      </w:r>
      <w:r>
        <w:t xml:space="preserve"> de</w:t>
      </w:r>
      <w:r w:rsidR="004E2991">
        <w:t xml:space="preserve"> </w:t>
      </w:r>
      <w:r w:rsidR="003E6068">
        <w:t>dic</w:t>
      </w:r>
      <w:r w:rsidR="00216B47">
        <w:t>iembre</w:t>
      </w:r>
      <w:r>
        <w:t xml:space="preserve"> del 202</w:t>
      </w:r>
      <w:r w:rsidR="004E2991">
        <w:t>3</w:t>
      </w:r>
      <w:r>
        <w:t>.</w:t>
      </w:r>
    </w:p>
    <w:p w14:paraId="56F73BC8" w14:textId="77777777" w:rsidR="004E2991" w:rsidRDefault="004E2991" w:rsidP="00AC1015">
      <w:pPr>
        <w:jc w:val="both"/>
      </w:pPr>
    </w:p>
    <w:p w14:paraId="276703BE" w14:textId="77777777" w:rsidR="004E2991" w:rsidRDefault="004E2991" w:rsidP="00AC1015">
      <w:pPr>
        <w:jc w:val="both"/>
      </w:pPr>
    </w:p>
    <w:p w14:paraId="53E866CE" w14:textId="77777777" w:rsidR="004E2991" w:rsidRDefault="004E2991" w:rsidP="00AC1015">
      <w:pPr>
        <w:jc w:val="both"/>
      </w:pPr>
    </w:p>
    <w:p w14:paraId="050AB8F0" w14:textId="77777777" w:rsidR="004E2991" w:rsidRDefault="004E2991" w:rsidP="00AC1015">
      <w:pPr>
        <w:jc w:val="both"/>
      </w:pPr>
    </w:p>
    <w:p w14:paraId="5E0D3183" w14:textId="77777777" w:rsidR="004E2991" w:rsidRDefault="004E2991" w:rsidP="00AC1015">
      <w:pPr>
        <w:jc w:val="both"/>
      </w:pPr>
    </w:p>
    <w:p w14:paraId="6F43D825" w14:textId="77777777" w:rsidR="004E2991" w:rsidRDefault="004E2991" w:rsidP="00AC1015">
      <w:pPr>
        <w:jc w:val="both"/>
      </w:pPr>
    </w:p>
    <w:p w14:paraId="495B040E" w14:textId="151CA220" w:rsidR="004E2991" w:rsidRDefault="004E2991" w:rsidP="00AC1015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____________________________</w:t>
      </w:r>
    </w:p>
    <w:p w14:paraId="6D4ACB66" w14:textId="7DB0976E" w:rsidR="004E2991" w:rsidRDefault="004E2991" w:rsidP="004E2991">
      <w:pPr>
        <w:spacing w:after="0"/>
        <w:jc w:val="both"/>
      </w:pPr>
      <w:r>
        <w:t>L.C. RUBÉN IVÁN OCHOA TRUJILLO</w:t>
      </w:r>
      <w:r>
        <w:tab/>
      </w:r>
      <w:r>
        <w:tab/>
      </w:r>
      <w:r>
        <w:tab/>
      </w:r>
      <w:r>
        <w:tab/>
        <w:t>MTRO. ANDRÉS MEDINA GUZMÁN</w:t>
      </w:r>
    </w:p>
    <w:p w14:paraId="0EA02902" w14:textId="5A28A109" w:rsidR="004E2991" w:rsidRDefault="004E2991" w:rsidP="004E2991">
      <w:pPr>
        <w:spacing w:after="0"/>
        <w:jc w:val="both"/>
      </w:pPr>
      <w:r>
        <w:t>JEFE DE DEPARTAMENTO DE RECURSOS</w:t>
      </w:r>
      <w:r>
        <w:tab/>
      </w:r>
      <w:r>
        <w:tab/>
      </w:r>
      <w:r>
        <w:tab/>
        <w:t>DIRECTOR GENERAL</w:t>
      </w:r>
    </w:p>
    <w:p w14:paraId="72DF7038" w14:textId="5E0048A1" w:rsidR="004E2991" w:rsidRDefault="004E2991" w:rsidP="004E2991">
      <w:pPr>
        <w:spacing w:after="0"/>
        <w:jc w:val="both"/>
      </w:pPr>
      <w:r>
        <w:t>FINANCIEROS Y RECURSOS MATERIALES</w:t>
      </w:r>
    </w:p>
    <w:sectPr w:rsidR="004E299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23C0" w14:textId="77777777" w:rsidR="00492E0B" w:rsidRDefault="00492E0B" w:rsidP="00162879">
      <w:pPr>
        <w:spacing w:after="0" w:line="240" w:lineRule="auto"/>
      </w:pPr>
      <w:r>
        <w:separator/>
      </w:r>
    </w:p>
  </w:endnote>
  <w:endnote w:type="continuationSeparator" w:id="0">
    <w:p w14:paraId="4EA94F1B" w14:textId="77777777" w:rsidR="00492E0B" w:rsidRDefault="00492E0B" w:rsidP="0016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B58F" w14:textId="6BB74A1B" w:rsidR="009F1369" w:rsidRPr="00CD170B" w:rsidRDefault="009F1369" w:rsidP="00CD170B">
    <w:pPr>
      <w:pStyle w:val="Footer"/>
      <w:jc w:val="right"/>
      <w:rPr>
        <w:b/>
      </w:rPr>
    </w:pPr>
  </w:p>
  <w:p w14:paraId="71A2D2F6" w14:textId="77777777" w:rsidR="009F1369" w:rsidRDefault="009F1369">
    <w:pPr>
      <w:pStyle w:val="Footer"/>
    </w:pPr>
  </w:p>
  <w:p w14:paraId="2B981533" w14:textId="7770FB47" w:rsidR="009F1369" w:rsidRDefault="009F1369">
    <w:pPr>
      <w:pStyle w:val="Footer"/>
    </w:pPr>
  </w:p>
  <w:p w14:paraId="4464D7CA" w14:textId="77777777" w:rsidR="009F1369" w:rsidRDefault="009F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2992" w14:textId="77777777" w:rsidR="00492E0B" w:rsidRDefault="00492E0B" w:rsidP="00162879">
      <w:pPr>
        <w:spacing w:after="0" w:line="240" w:lineRule="auto"/>
      </w:pPr>
      <w:r>
        <w:separator/>
      </w:r>
    </w:p>
  </w:footnote>
  <w:footnote w:type="continuationSeparator" w:id="0">
    <w:p w14:paraId="1FC98A8C" w14:textId="77777777" w:rsidR="00492E0B" w:rsidRDefault="00492E0B" w:rsidP="0016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AFE5" w14:textId="3CAE89D9" w:rsidR="009F1369" w:rsidRDefault="009F1369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4A9878" wp14:editId="6034279A">
          <wp:simplePos x="0" y="0"/>
          <wp:positionH relativeFrom="column">
            <wp:posOffset>-1109395</wp:posOffset>
          </wp:positionH>
          <wp:positionV relativeFrom="paragraph">
            <wp:posOffset>-449580</wp:posOffset>
          </wp:positionV>
          <wp:extent cx="7826424" cy="10072370"/>
          <wp:effectExtent l="0" t="0" r="3175" b="5080"/>
          <wp:wrapNone/>
          <wp:docPr id="2" name="Imagen 2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Gráfic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014" cy="1008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EAB48" w14:textId="77777777" w:rsidR="009F1369" w:rsidRDefault="009F1369">
    <w:pPr>
      <w:pStyle w:val="Header"/>
    </w:pPr>
  </w:p>
  <w:p w14:paraId="658302D3" w14:textId="77777777" w:rsidR="009F1369" w:rsidRDefault="009F1369">
    <w:pPr>
      <w:pStyle w:val="Header"/>
    </w:pPr>
  </w:p>
  <w:p w14:paraId="00D501C6" w14:textId="77777777" w:rsidR="009F1369" w:rsidRDefault="009F1369">
    <w:pPr>
      <w:pStyle w:val="Header"/>
    </w:pPr>
  </w:p>
  <w:p w14:paraId="392A1C3C" w14:textId="6C9F773E" w:rsidR="009F1369" w:rsidRDefault="009F1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79"/>
    <w:rsid w:val="00006653"/>
    <w:rsid w:val="00012877"/>
    <w:rsid w:val="000163A7"/>
    <w:rsid w:val="000179D1"/>
    <w:rsid w:val="000374AD"/>
    <w:rsid w:val="00037977"/>
    <w:rsid w:val="00045C0D"/>
    <w:rsid w:val="0006165A"/>
    <w:rsid w:val="000C611A"/>
    <w:rsid w:val="000E17D9"/>
    <w:rsid w:val="00120990"/>
    <w:rsid w:val="00162879"/>
    <w:rsid w:val="00177E75"/>
    <w:rsid w:val="00196D3E"/>
    <w:rsid w:val="001B5DF8"/>
    <w:rsid w:val="001D665B"/>
    <w:rsid w:val="00204FFC"/>
    <w:rsid w:val="00216B47"/>
    <w:rsid w:val="00252896"/>
    <w:rsid w:val="00261DBB"/>
    <w:rsid w:val="00271C53"/>
    <w:rsid w:val="00292DD7"/>
    <w:rsid w:val="00292F64"/>
    <w:rsid w:val="002B1677"/>
    <w:rsid w:val="002B2F77"/>
    <w:rsid w:val="002B3E61"/>
    <w:rsid w:val="002F5132"/>
    <w:rsid w:val="00320542"/>
    <w:rsid w:val="003E6068"/>
    <w:rsid w:val="004046CC"/>
    <w:rsid w:val="004328CE"/>
    <w:rsid w:val="00437531"/>
    <w:rsid w:val="004502A6"/>
    <w:rsid w:val="004738B3"/>
    <w:rsid w:val="00492E0B"/>
    <w:rsid w:val="004C439D"/>
    <w:rsid w:val="004C4F77"/>
    <w:rsid w:val="004C685A"/>
    <w:rsid w:val="004D1DAC"/>
    <w:rsid w:val="004E2991"/>
    <w:rsid w:val="004F06F8"/>
    <w:rsid w:val="00503E6C"/>
    <w:rsid w:val="005614B0"/>
    <w:rsid w:val="005919AD"/>
    <w:rsid w:val="005B5EEB"/>
    <w:rsid w:val="005C6606"/>
    <w:rsid w:val="005E4DD7"/>
    <w:rsid w:val="005F059C"/>
    <w:rsid w:val="0060036C"/>
    <w:rsid w:val="00606752"/>
    <w:rsid w:val="00623497"/>
    <w:rsid w:val="00643C49"/>
    <w:rsid w:val="0069266C"/>
    <w:rsid w:val="006E70D4"/>
    <w:rsid w:val="00712110"/>
    <w:rsid w:val="00741B5D"/>
    <w:rsid w:val="00770741"/>
    <w:rsid w:val="00794AC5"/>
    <w:rsid w:val="0079610C"/>
    <w:rsid w:val="00800195"/>
    <w:rsid w:val="00844526"/>
    <w:rsid w:val="00855C15"/>
    <w:rsid w:val="00876C9C"/>
    <w:rsid w:val="008C2DEF"/>
    <w:rsid w:val="009267B0"/>
    <w:rsid w:val="00957560"/>
    <w:rsid w:val="00984BA0"/>
    <w:rsid w:val="00992777"/>
    <w:rsid w:val="009B5A93"/>
    <w:rsid w:val="009D01DD"/>
    <w:rsid w:val="009F1369"/>
    <w:rsid w:val="00A30968"/>
    <w:rsid w:val="00A475C1"/>
    <w:rsid w:val="00A52AD7"/>
    <w:rsid w:val="00A570BF"/>
    <w:rsid w:val="00A72D6B"/>
    <w:rsid w:val="00AB1B67"/>
    <w:rsid w:val="00AB3F9E"/>
    <w:rsid w:val="00AC1015"/>
    <w:rsid w:val="00B20C19"/>
    <w:rsid w:val="00B5171E"/>
    <w:rsid w:val="00B748C4"/>
    <w:rsid w:val="00B90996"/>
    <w:rsid w:val="00BA0494"/>
    <w:rsid w:val="00BA4018"/>
    <w:rsid w:val="00BE3DE4"/>
    <w:rsid w:val="00BF0287"/>
    <w:rsid w:val="00C05217"/>
    <w:rsid w:val="00C135B7"/>
    <w:rsid w:val="00C23712"/>
    <w:rsid w:val="00C37566"/>
    <w:rsid w:val="00C40DDA"/>
    <w:rsid w:val="00C50976"/>
    <w:rsid w:val="00C7377D"/>
    <w:rsid w:val="00CA67A3"/>
    <w:rsid w:val="00CD170B"/>
    <w:rsid w:val="00D31781"/>
    <w:rsid w:val="00D57A6F"/>
    <w:rsid w:val="00D57FB1"/>
    <w:rsid w:val="00D970C2"/>
    <w:rsid w:val="00DC2510"/>
    <w:rsid w:val="00E27CD9"/>
    <w:rsid w:val="00E464FD"/>
    <w:rsid w:val="00E47EB3"/>
    <w:rsid w:val="00E550A8"/>
    <w:rsid w:val="00EA7680"/>
    <w:rsid w:val="00EB3994"/>
    <w:rsid w:val="00EC4623"/>
    <w:rsid w:val="00F03C06"/>
    <w:rsid w:val="00F341BC"/>
    <w:rsid w:val="00F57C07"/>
    <w:rsid w:val="00F94986"/>
    <w:rsid w:val="00F96497"/>
    <w:rsid w:val="00FA12DD"/>
    <w:rsid w:val="00FC4775"/>
    <w:rsid w:val="00FC7B26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7ADDF"/>
  <w15:docId w15:val="{355A2F1A-6901-4BC0-87BA-965A3EC9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76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Heading4">
    <w:name w:val="heading 4"/>
    <w:basedOn w:val="Normal"/>
    <w:next w:val="Normal"/>
    <w:link w:val="Heading4Char"/>
    <w:qFormat/>
    <w:rsid w:val="00EA76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paragraph" w:styleId="Heading5">
    <w:name w:val="heading 5"/>
    <w:basedOn w:val="Normal"/>
    <w:next w:val="Normal"/>
    <w:link w:val="Heading5Char"/>
    <w:qFormat/>
    <w:rsid w:val="00EA76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MX"/>
    </w:rPr>
  </w:style>
  <w:style w:type="paragraph" w:styleId="Heading8">
    <w:name w:val="heading 8"/>
    <w:basedOn w:val="Normal"/>
    <w:next w:val="Normal"/>
    <w:link w:val="Heading8Char"/>
    <w:qFormat/>
    <w:rsid w:val="00EA768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MX"/>
    </w:rPr>
  </w:style>
  <w:style w:type="paragraph" w:styleId="Heading9">
    <w:name w:val="heading 9"/>
    <w:basedOn w:val="Normal"/>
    <w:next w:val="Normal"/>
    <w:link w:val="Heading9Char"/>
    <w:qFormat/>
    <w:rsid w:val="00EA7680"/>
    <w:pPr>
      <w:keepNext/>
      <w:spacing w:after="0" w:line="240" w:lineRule="auto"/>
      <w:outlineLvl w:val="8"/>
    </w:pPr>
    <w:rPr>
      <w:rFonts w:ascii="Myriad Pro" w:eastAsia="Times New Roman" w:hAnsi="Myriad Pro" w:cs="Arial"/>
      <w:b/>
      <w:bCs/>
      <w:sz w:val="20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879"/>
  </w:style>
  <w:style w:type="paragraph" w:styleId="Footer">
    <w:name w:val="footer"/>
    <w:basedOn w:val="Normal"/>
    <w:link w:val="FooterChar"/>
    <w:uiPriority w:val="99"/>
    <w:unhideWhenUsed/>
    <w:rsid w:val="00162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879"/>
  </w:style>
  <w:style w:type="table" w:styleId="TableGrid">
    <w:name w:val="Table Grid"/>
    <w:basedOn w:val="TableNormal"/>
    <w:rsid w:val="00AB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A7680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Heading4Char">
    <w:name w:val="Heading 4 Char"/>
    <w:basedOn w:val="DefaultParagraphFont"/>
    <w:link w:val="Heading4"/>
    <w:rsid w:val="00EA7680"/>
    <w:rPr>
      <w:rFonts w:ascii="Times New Roman" w:eastAsia="Times New Roman" w:hAnsi="Times New Roman" w:cs="Times New Roman"/>
      <w:b/>
      <w:bCs/>
      <w:sz w:val="28"/>
      <w:szCs w:val="28"/>
      <w:lang w:eastAsia="es-MX"/>
    </w:rPr>
  </w:style>
  <w:style w:type="character" w:customStyle="1" w:styleId="Heading5Char">
    <w:name w:val="Heading 5 Char"/>
    <w:basedOn w:val="DefaultParagraphFont"/>
    <w:link w:val="Heading5"/>
    <w:rsid w:val="00EA7680"/>
    <w:rPr>
      <w:rFonts w:ascii="Times New Roman" w:eastAsia="Times New Roman" w:hAnsi="Times New Roman" w:cs="Times New Roman"/>
      <w:b/>
      <w:bCs/>
      <w:i/>
      <w:iCs/>
      <w:sz w:val="26"/>
      <w:szCs w:val="26"/>
      <w:lang w:eastAsia="es-MX"/>
    </w:rPr>
  </w:style>
  <w:style w:type="character" w:customStyle="1" w:styleId="Heading8Char">
    <w:name w:val="Heading 8 Char"/>
    <w:basedOn w:val="DefaultParagraphFont"/>
    <w:link w:val="Heading8"/>
    <w:rsid w:val="00EA7680"/>
    <w:rPr>
      <w:rFonts w:ascii="Calibri" w:eastAsia="Times New Roman" w:hAnsi="Calibri" w:cs="Times New Roman"/>
      <w:i/>
      <w:iCs/>
      <w:sz w:val="24"/>
      <w:szCs w:val="24"/>
      <w:lang w:eastAsia="es-MX"/>
    </w:rPr>
  </w:style>
  <w:style w:type="character" w:customStyle="1" w:styleId="Heading9Char">
    <w:name w:val="Heading 9 Char"/>
    <w:basedOn w:val="DefaultParagraphFont"/>
    <w:link w:val="Heading9"/>
    <w:rsid w:val="00EA7680"/>
    <w:rPr>
      <w:rFonts w:ascii="Myriad Pro" w:eastAsia="Times New Roman" w:hAnsi="Myriad Pro" w:cs="Arial"/>
      <w:b/>
      <w:bCs/>
      <w:sz w:val="20"/>
      <w:szCs w:val="20"/>
      <w:lang w:eastAsia="es-MX"/>
    </w:rPr>
  </w:style>
  <w:style w:type="paragraph" w:styleId="BodyText">
    <w:name w:val="Body Text"/>
    <w:basedOn w:val="Normal"/>
    <w:link w:val="BodyTextChar"/>
    <w:rsid w:val="00EA76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odyTextChar">
    <w:name w:val="Body Text Char"/>
    <w:basedOn w:val="DefaultParagraphFont"/>
    <w:link w:val="BodyText"/>
    <w:rsid w:val="00EA768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odyText2">
    <w:name w:val="Body Text 2"/>
    <w:basedOn w:val="Normal"/>
    <w:link w:val="BodyText2Char"/>
    <w:rsid w:val="00EA76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odyText2Char">
    <w:name w:val="Body Text 2 Char"/>
    <w:basedOn w:val="DefaultParagraphFont"/>
    <w:link w:val="BodyText2"/>
    <w:rsid w:val="00EA768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Almanza Lemus</dc:creator>
  <cp:lastModifiedBy>Irene Almanza Lemus</cp:lastModifiedBy>
  <cp:revision>2</cp:revision>
  <cp:lastPrinted>2023-10-05T21:41:00Z</cp:lastPrinted>
  <dcterms:created xsi:type="dcterms:W3CDTF">2024-02-14T18:38:00Z</dcterms:created>
  <dcterms:modified xsi:type="dcterms:W3CDTF">2024-02-14T18:38:00Z</dcterms:modified>
</cp:coreProperties>
</file>